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280</w:t>
      </w:r>
    </w:p>
    <w:p>
      <w:r>
        <w:t>Bundesgericht (BGE), 1997-11-13, DE</w:t>
      </w:r>
    </w:p>
    <w:p>
      <w:r>
        <w:rPr>
          <w:b/>
        </w:rPr>
        <w:t xml:space="preserve">Quelle: </w:t>
      </w:r>
      <w:r>
        <w:t>https://mcp.opencaselaw.ch/entscheid/bge_123 V 280</w:t>
      </w:r>
    </w:p>
    <w:p>
      <w:r>
        <w:t>FR: ATF 123 V 280</w:t>
      </w:r>
    </w:p>
    <w:p>
      <w:r>
        <w:t>IT: DTF 123 V 280</w:t>
      </w:r>
    </w:p>
    <w:p>
      <w:pPr>
        <w:pStyle w:val="Heading2"/>
      </w:pPr>
      <w:r>
        <w:t>Regeste</w:t>
      </w:r>
    </w:p>
    <w:p>
      <w:r>
        <w:t>Regeste Art. 43 Abs. 4 KVG; Art. 89 und 91 KVG; Art. 46 Abs. 4 und Art. 53 KVG: Anwendung tarifvertraglicher Indexklauseln; Prüfungszuständigkeit. Für die Prüfung der Auswirkungen der zwischen einer kantonalen Ärztegesellschaft und dem kantonalen Krankenkassenverband vereinbarten tarifvertraglichen Indexklausel, welche die Höhe des Taxpunktwertes bestimmt, ist nicht das kantonale Schiedsgericht nach Art. 89 KVG sachlich zuständig (Änderung der Rechtsprechung gemäss BGE 119 V 326 Erw. 5 im Lichte des KVG).</w:t>
      </w:r>
    </w:p>
    <w:p>
      <w:pPr>
        <w:pStyle w:val="Heading2"/>
      </w:pPr>
      <w:r>
        <w:t>Erwägungen</w:t>
      </w:r>
    </w:p>
    <w:p>
      <w:r>
        <w:rPr>
          <w:b/>
        </w:rPr>
        <w:t>E. 1</w:t>
      </w:r>
    </w:p>
    <w:p>
      <w:r>
        <w:t>Nach ständiger Rechtsprechung prüft das Eidg. Versicherungsgericht von Amtes wegen die formellen Gültigkeitserfordernisse des Verfahrens ( BGE 120 V 29 Erw. 1, BGE 111 V 346 Erw. 1a, je mit Hinweisen). Dies gilt auch hinsichtlich des Verfahrens vor den kantonalen Schiedsgerichten nach Art. 89 KVG (vgl. BGE 119 V 324 Erw. 3 zu Art. 25 Abs. 1 KUVG ). Hat die Vorinstanz übersehen, dass es an einer Prozessvoraussetzung fehlte, und hat sie materiell entschieden, ist dies im Rechtsmittelverfahren von Amtes wegen zu berücksichtigen mit der Folge, dass der angefochtene Entscheid aufzuheben ist ( BGE 120 V 29 Erw. 1, BGE 119 V 312 Erw. 1b, 324 f. Erw. 3). Dem steht die allfällige sachliche Unzuständigkeit des Eidg. Versicherungsgerichts nicht entgegen (vgl. BGE 107 V 46 oben; ferner BGE 96 V 126 ).</w:t>
      </w:r>
    </w:p>
    <w:p>
      <w:r>
        <w:rPr>
          <w:b/>
        </w:rPr>
        <w:t>E. 2</w:t>
      </w:r>
    </w:p>
    <w:p>
      <w:r>
        <w:t>Im vorliegenden Fall ist vorab streitig, ob das kantonale Schiedsgericht nach Art. 89 KVG zur Beurteilung der Klage der Ärztegesellschaft gegen den Krankenkassenverband betreffend die Erhöhung des Taxpunktwertes von Fr. 1.80 auf Fr. 1.95 ab 1. Januar 1996 gestützt auf die Indexklausel in Ziff. 3 des vom Regierungsrat am 12. Dezember 1972 genehmigten Vertragstarifes vom 18. November 1971 und die Zusatzvereinbarung vom 16. Juni 1992 sachlich zuständig war. Während Vorinstanz und Beschwerdeführerin diese Frage unter Hinweis auf BGE 119 V 317 bejahen, sind Beschwerdegegner und Bundesamt für Sozialversicherung der Auffassung, dass nach neuem Recht die Kantonsregierung und zweitinstanzlich der Bundesrat aufgrund von Art. 46 Abs. 4 und BGE 123 V 280 S. 284 Art. 53 KVG zur Beurteilung von Tarifstreitigkeiten wie der vorliegenden zuständig sind. In gleichem Sinne habe sich auch der Bundesrat im Entscheid vom 15. Januar 1997 in Sachen Ärztegesellschaft Schaffhausen und noch unter altem Recht in dem auch in BGE 119 V 327 Erw. 5 erwähnten Entscheid vom 12. Mai 1993 in Sachen Aargauischer Krankenkassenverband geäussert.</w:t>
      </w:r>
    </w:p>
    <w:p>
      <w:r>
        <w:rPr>
          <w:b/>
        </w:rPr>
        <w:t>E. 3</w:t>
      </w:r>
    </w:p>
    <w:p>
      <w:r>
        <w:t>Im erwähnten BGE 119 V 317 hatte das Eidg. Versicherungsgericht zu prüfen, ob das Schiedsgericht nach Art. 25 KUVG des Kantons Schaffhausen sachlich zuständig war zur Prüfung der Frage, ob der Dringliche Bundesbeschluss vom 13. Dezember 1991 über befristete Massnahmen gegen die Kostensteigerung in der Krankenversicherung auf den Schaffhauser Tarifvertrag anwendbar war mit der Folge, dass der in Art. 6 des Tarifes vorgesehene automatische hälftige Teuerungsausgleich bei einer Erhöhung des Landesindexes der Konsumentenpreise um 5% nicht zum Zuge kam. Das Gericht hat diese Frage bejaht, "da es vorliegend um eine Tarifvertragsstreitigkeit nach Art. 16 und Art. 22 Abs. 1 KUVG geht, welche unter die Schiedsgerichtsbarkeit gemäss Art. 25 KUVG fällt. Anders verhielte es sich nur, wenn eine genehmigungspflichtige Abänderung eines Tarifvertrages zur Debatte stünde, welche nach Art. 22 Abs. 3 und Art. 22quinquies KUVG in die Zuständigkeit der Kantonsregierungen und des Bundesrates fallen würde. Von einer solchen genehmigungspflichtigen Abänderung des Tarifvertrages (...) kann nicht die Rede sein. Dass der Bundesrat anscheinend die gegenteilige Auffassung vertreten hat (vgl. den erwähnten, vom BSV auszugsweise zu den Akten gegebenen Beschwerdeentscheid vom 12. Mai 1993), ist für das Eidg. Versicherungsgericht nicht verbindlich. Was der Krankenkassenverband bestreitet, ist vielmehr die Rechtsfolge, welche sich aus der früher vereinbarten, längst genehmigten Indexklausel des Tarifvertrages ergibt. Nur (geänderte) tarifvertragliche Bestimmungen unterliegen jedoch der Genehmigungspflicht, nicht die aus Vertragsbestimmungen sich ergebenden Rechtsfolgen - eine Selbstverständlichkeit, von welcher der beschwerdeführende Kassenverband während Jahren selber ausging, wie die Beschwerdegegnerin zutreffend einwendet" (Erw. 5). Im Lichte dieser Rechtsprechung stellt sich die Frage, ob Streitigkeiten über die Anwendung einer noch unter altem Recht vereinbarten und regierungsrätlich genehmigten tarifvertraglichen Indexklausel, welche die Höhe des Taxpunktwertes bestimmt, in den Zuständigkeitsbereich der Schiedsgerichte nach Art. 89 KVG fallen. BGE 123 V 280 S. 285</w:t>
      </w:r>
    </w:p>
    <w:p>
      <w:r>
        <w:rPr>
          <w:b/>
        </w:rPr>
        <w:t>E. 4</w:t>
      </w:r>
    </w:p>
    <w:p>
      <w:r>
        <w:t>Gemäss Art. 104 Abs. 1 Satz 1 KVG werden mit dem Inkrafttreten des Gesetzes bestehende Tarifverträge nicht aufgehoben. Diese sind laut Art. 8 Abs. 1 der Verordnung vom 12. April 1995 über die Inkraftsetzung und Einführung des Bundesgesetzes vom 18. März 1994 über die Krankenversicherung, erlassen durch den Bundesrat gestützt auf Satz 2 der genannten Übergangsbestimmung, bis zum 31. Dezember 1997 an das neue Recht anzupassen. Im Rahmen dieser Übergangsregelung beurteilen sich tarifvertragliche Streitigkeiten materiell nach altem Recht (vgl. Art. 102 Abs. 2 Satz 2 KVG ), wobei gemäss Art. 8 Abs. 3 der genannten Verordnung Tariferhöhungen auch ohne Anpassung der übrigen Bestimmungen an das neue Recht möglich sind. Zuständigkeit und Verfahren richten sich hingegen nach neuem Recht (vgl. BGE 111 V 47 Erw. 4 und RKUV 1997 Nr. K 14 S. 311 Erw. 1a, je mit Hinweisen).</w:t>
      </w:r>
    </w:p>
    <w:p>
      <w:r>
        <w:rPr>
          <w:b/>
        </w:rPr>
        <w:t>E. 5</w:t>
      </w:r>
    </w:p>
    <w:p>
      <w:r>
        <w:t>Nach Art. 89 KVG entscheidet ein Schiedsgericht Streitigkeiten zwischen Versicherern und Leistungserbringern (Abs. 1). Zuständig ist das Schiedsgericht desjenigen Kantons, dessen Tarif zur Anwendung gelangt, oder desjenigen Kantons, in dem die ständige Einrichtung des Leistungserbringers liegt (Art. 2). Gegen Entscheide der Schiedsgerichte kann laut Art. 91 KVG Verwaltungsgerichtsbeschwerde beim Eidg. Versicherungsgericht geführt werden. Gesetz (KVG) und Verordnung (KVV) umschreiben nicht näher, was unter Streitigkeiten im Sinne von Art. 89 KVG zu verstehen ist. Rechtsprechung und Lehre zum altrechtlichen Art. 25 Abs. 1 KUVG gehen von einer weiten Begriffsumschreibung aus ( BGE 111 V 346 Erw. 1b mit Hinweisen). Danach setzt die sachliche Zuständigkeit des Schiedsgerichts voraus, dass die Streitigkeit Rechtsbeziehungen zum Gegenstand hat, die sich aus dem KUVG ergeben oder die aufgrund des KUVG eingegangen worden sind ( BGE 116 V 126 Erw. 2a, BGE 112 V 311 Erw. 3b mit Hinweisen). So verhält es sich unter anderem, wenn die Auseinandersetzung einen Tarifvertrag im Sinne von Art. 22 Abs. 1 KUVG betrifft, nach welcher Bestimmung die Taxen für die Leistungen der Ärzte in Verträgen zwischen den Kassen und den Ärzten festgesetzt werden, es sei denn, es gehe um eine genehmigungspflichtige Abänderung eines solchen Vertrages, welche nach Art. 22 Abs. 3 und Art. 22quater Abs. 5 KUVG in die Zuständigkeit der Kantonsregierungen und letztinstanzlich des Bundesrates ( Art. 22quinquies KUVG ) fallen würde ( BGE 119 V 326 f. Erw. 5). BGE 123 V 280 S. 286</w:t>
      </w:r>
    </w:p>
    <w:p>
      <w:r>
        <w:rPr>
          <w:b/>
        </w:rPr>
        <w:t>E. 6</w:t>
      </w:r>
    </w:p>
    <w:p>
      <w:r>
        <w:t>Gemäss Art. 43 Abs. 4 Satz 1 KVG werden Tarife (als eine Grundlage für die Berechnung der Vergütung von Leistungen der obligatorischen Krankenpflegeversicherung) in Verträgen zwischen Versicherern und Leistungserbringern (Tarifvertrag) vereinbart oder in den vom Gesetz bestimmten Fällen von der zuständigen Behörde festgesetzt. Der Tarifvertrag bedarf der Genehmigung durch die zuständige Kantonsregierung oder, wenn er in der ganzen Schweiz gelten soll, durch den Bundesrat ( Art. 46 Abs. 4 Satz 1 KVG ). Gegen den Genehmigungsbeschluss der Kantonsregierung kann Beschwerde an den Bundesrat erhoben werden ( Art. 53 Abs. 1 KVG ). a) Die Regelung der Genehmigung von Tarifvereinbarungen zwischen Leistungserbringern und Versicherern durch die zuständigen Verwaltungsbehörden gemäss KVG entspricht im wesentlichen der altrechtlichen Ordnung gemäss Art. 22, 22quater und 22quinquies KUVG . Wie diese geht sie aus von der Freiheit der Tarifpartner, im gesetzlichen Rahmen die Tarifordnung weitgehend selber festzulegen (Botschaft vom 6. November 1991 über die Revision der Krankenversicherung, BBl 1992 I 93 ff., 179; Amtl.Bull. 1992 S 1310, 1993 N 1726 f.; MAURER, Das neue Krankenversicherungsrecht, Basel 1996, S. 83). Dessen ungeachtet hat die Gesetzesnovelle vom 18. März 1994 neben Änderungen bloss formeller Natur (Terminologie, Systematik) inhaltlich zu einer Neuausgestaltung des Tarifvertragswesens geführt. Dies kommt vorab darin zum Ausdruck, dass der Gesetzgeber in Art. 43 Abs. 6 KVG ausdrücklich die Hauptzielsetzung der Tarifierung formuliert hat, nämlich eine qualitativ hochstehende und zweckmässige gesundheitliche Versorgung zu möglichst günstigen Kosten (BBl 1992 I 174). Wie bei der Umschreibung der obligatorisch krankenpflegeversicherten Leistungen ( Art. 32 Abs. 1 KVG ) und im Rahmen der Leistungserbringung ( Art. 56 Abs. 1 KVG ) gilt somit auch im Tarifbereich der Grundsatz der Wirtschaftlichkeit. Dementsprechend hat die Genehmigungsbehörde einen Tarifvertrag nicht mehr bloss auf seine Übereinstimmung mit dem Gesetz und der Billigkeit zu prüfen, wie dies noch unter altem Recht der Fall war (vgl. Art. 22 Abs. 3, Art. 22quater Abs. 5 KUVG ); vielmehr hat sie und hat im Beschwerdefall der Bundesrat auch danach zu fragen, ob die Vereinbarung mit dem Gebot der Wirtschaftlichkeit im Einklang steht (BBl 1992 I 188). "Sie darf und soll dabei durchaus einen strengen Massstab anlegen, geht es doch darum (...), dass eine qualitativ hochstehende und zweckmässige Versorgung zu möglichst günstigen Kosten erreicht wird." (BBl 1992 I 180). BGE 123 V 280 S. 287 b) Die in der Botschaft zum Revisionsentwurf vorgezeichnete verstärkte Kontrolle im Tarifbereich durch die zuständigen Behörden ist in den parlamentarischen Beratungen unbestritten geblieben (Amtl.Bull. 1992 S 1310, 1993 N 1726 f.) und hat neben den bereits erwähnten Gesetzesbestimmungen insbesondere auch in der dem Bundesrat in Art. 43 Abs. 6 KVG eingeräumten Kompetenz, Grundsätze für eine wirtschaftliche Bemessung und eine sachgerechte Struktur sowie für die Anpassung der Tarife aufzustellen, seinen Niederschlag gefunden (Amtl.Bull. S 1992 310 f., 1993 N 1726 und 1859). Ebenfalls auf eine möglichst kostengünstige Leistungserbringung, insbesondere im ambulanten ärztlichen Bereich, zielt Art. 43 Abs. 5 KVG , wonach Einzelleistungstarife auf einer gesamtschweizerisch vereinbarten, einheitlichen Tarifstruktur beruhen müssen (BBl 1992 I 173 f.; Amtl.Bull. 1992 S 1284). Im weitern wird schon in der Botschaft (BBl 1992 I 180 und 182) die Anwendung des Preisüberwachungsgesetzes (PüG; Art. 14) auf Tarife, die nach dem KVG festgesetzt werden, entsprechend der früheren Praxis (vgl. die Hinweise in Erw. II/3 des in RKUV 1997 S. 122 wiedergegebenen Entscheides des Bundesrates vom 15. Januar 1997 i.S. Kantonale Ärztegesellschaft Schaffhausen gegen Regierungsrat des Kantons Schaffhausen [RKUV 1997 Nr. KV 5 S. 136]) bestätigt. Die Genehmigungsbehörde hat somit den Preisüberwacher anzuhören, bevor sie ihren Entscheid fällt (MAURER, a.a.O., S. 84 unten; Amtl.Bull. 1992 S 1317). Sie führt seine Stellungnahme im Entscheid an. Folgt sie ihr nicht, begründet sie dies ( Art. 14 Abs. 2 PüG ). Damit "sollte es möglich sein, bei Bedarf auf ein massvolles Tarifgebaren der Tarifpartner hinzuwirken" (BBl 1992 I 180), dies nicht zuletzt auch im Interesse der an der Ausgestaltung der Tarifordnung nicht (direkt) beteiligten Versicherten und Prämienzahler (Amtl.Bull. 1993 N 1727, 1993 S 1075, 1994 S 91 f.). Mit dem Einbezug des Preisüberwachers in das Genehmigungsverfahren wird sichergestellt, dass bei der Prüfung des Tarifvertrages auf seine Übereinstimmung mit dem Gebot der Wirtschaftlichkeit und Billigkeit ( Art. 46 Abs. 4 KVG ) auch "allfällige übergeordnete öffentliche Interessen" berücksichtigt werden ( Art. 14 Abs. 3 PüG ), insbesondere die sozialpolitischen Rahmenbedingungen für die Festsetzung oder Anpassung von Tarifen (vgl. Erw. II/9 und 10 des bundesrätlichen Entscheides vom 15. Januar 1997 [RKUV 1997 Nr. KV 5 S. 140 f.]). c) Aus den vorstehenden Ausführungen ergibt sich, dass nach dem klaren Willen des Gesetzgebers die Tarifgestaltung nach wie vor in BGE 123 V 280 S. 288 erster Linie Sache der Leistungserbringer und der Versicherer ist, dass aber unter dem Gesichtspunkt der Wirtschaftlichkeit alle kostenrelevanten Bestandteile eines Tarifvertrages, bei Einzelleistungstarifierung somit Tarifstruktur und Taxpunktwert, einer verstärkten Kontrolle durch die zuständigen Behörden unterliegen sollen. Dieser Zielsetzung widerspräche, das Instrument der Genehmigung lediglich beim (erstmaligen) Abschluss eines Tarifvertrages, jedoch nicht bei einer späteren Änderung der Vereinbarung einzusetzen, dies jedenfalls wenn und soweit die Änderung unter dem Gesichtspunkt der Wirtschaftlichkeit und Billigkeit als wesentlich bezeichnet werden muss. Dabei kann es nicht darauf ankommen, ob es sich um eine bloss formelle, nicht das Ergebnis konkreter Verhandlungen bildende Vertragsanpassung handelt, wie dies etwa bei der (automatischen) Erhöhung des Taxpunktwertes aufgrund einer Indexklausel der Fall ist. Vielmehr ist entscheidend, ob nach Sinn und Zweck der Tarifordnung des KVG eine Genehmigung erforderlich ist bzw. ob mit dem Verzicht auf eine Genehmigung diese Ordnung grundsätzlich in Frage gestellt würde. Ausgehend von dieser Fragestellung hat der Bundesrat im schon erwähnten, noch unter altem Recht gefällten Entscheid vom 12. Mai 1993 eine Erhöhung des Taxpunktwertes gestützt auf eine Indexklausel als eine materielle genehmigungsbedürftige Vertragsänderung qualifiziert. d) Wenn das Eidg. Versicherungsgericht in BGE 119 V 327 Erw. 5 die Anpassung des Taxpunktwertes an einen Index nicht als eine genehmigungspflichtige Vertragsänderung qualifizierte, sondern lediglich als "Rechtsfolge, welche sich aus der früher vereinbarten, längst genehmigten Indexklausel des Tarifvertrages ergibt", kann an dieser Betrachtungsweise im Lichte der neuen Tarifordnung des KVG nicht mehr festgehalten werden. Die Genehmigung einer Indexklausel kann nicht als vorgezogene Genehmigung für alle gestützt darauf erfolgenden zukünftigen Erhöhungen des Taxpunktwertes gelten. Eine von der zuständigen Behörde (einmal) genehmigte Indexierung des Taxpunktwertes besagt einzig, dass der Einzelleistungstarif dem Teuerungsausgleich untersteht. Die effektive Anpassung im Sinne einer Anwendung der tarifvertraglichen Indexklausel jedoch ist, wie die Änderung des Taxpunktwertes als solche, genehmigungsbedürftig und hat unter den Aspekten der Wirtschaftlichkeit und Billigkeit zu erfolgen. Nur so kann entsprechend der Zielsetzung des KVG ("Sicherstellung hoher Qualität und Wirtschaftlichkeit" [BBl 1992 I 174 unten]) verstärkt auf das BGE 123 V 280 S. 289 Tarifgeschehen eingewirkt und auf die Kostenentwicklung Einfluss genommen werden. e) Fallen nach dem Gesagten Streitigkeiten über die Anwendung einer tarifvertraglichen Indexklausel, welche die Höhe des Taxpunktwertes bestimmt, nicht in den Zuständigkeitsbereich der Schiedsgerichte nach Art. 89 KVG , hätte die Vorinstanz mit dieser Feststellung auf Nichteintreten erkennen müssen (vgl. GYGI, Bundesverwaltungsrechtspflege, 2. Aufl., S. 110 oben) und nicht das Begehren der Klägerin und jetzigen Beschwerdeführerin auf Erhöhung des Taxpunktwertes materiell behandeln und abweisen dürfen. Der angefochtene Entscheid ist daher aufzuheben. Im übrigen ist auf die Verwaltungsgerichtsbeschwerde nicht einzutreten ( Art. 129 Abs. 1 lit. b OG ).</w:t>
      </w:r>
    </w:p>
    <w:p>
      <w:r>
        <w:rPr>
          <w:b/>
        </w:rPr>
        <w:t>E. 7</w:t>
      </w:r>
    </w:p>
    <w:p>
      <w:r>
        <w:t>Die Beschwerdeführerin hat die Durchführung eines Meinungsaustausches mit dem Bundesrat über die Frage der sachlichen Zuständigkeit zur Beurteilung der Auswirkungen der tarifvertraglichen Indexklausel auf die Höhe des Taxpunktwertes beantragt. Diesem Begehren ist nicht stattzugeben, nachdem das instruierende Bundesamt für Justiz im Schreiben vom 27. Juli 1997 sinngemäss und in Übereinstimmung mit der vom Bundesrat schon im Entscheid vom 12. Mai 1993 vertretenen Rechtsauffassung erklärt hat, dass, sollte das Eidg. Versicherungsgericht im Lichte des KVG an der Rechtsprechung gemäss BGE 119 V 326 Erw. 5 nicht mehr festhalten, der Bundesrat für die Prüfung dieser Tarifstreitigkeit im Rahmen des hängigen Verwaltungsbeschwerdeverfahrens zuständig ist (vgl. BGE 108 Ib 543 f. Erw. 2a/aa). Im weitern besteht kein Anlass für einen zweiten Schriftenwechsel ( BGE 119 V 323 Erw. 1) oder eine - erst nach Abschluss des Schriftenwechsels von der Beschwerdegegnerin beantragte - mündliche Hauptverhandlung (vgl. BGE 122 V 55 f. Erw. 3a und b/bb).</w:t>
      </w:r>
    </w:p>
    <w:p>
      <w:r>
        <w:rPr>
          <w:b/>
        </w:rPr>
        <w:t>E. 8</w:t>
      </w:r>
    </w:p>
    <w:p>
      <w:r>
        <w:t>(Kostenfolge)</w:t>
      </w:r>
    </w:p>
    <w:p>
      <w:r>
        <w:rPr>
          <w:b/>
        </w:rPr>
        <w:t>E. 9</w:t>
      </w:r>
    </w:p>
    <w:p>
      <w:r>
        <w:t>(Parteientschädigung)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